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 xml:space="preserve">доверенности </w:t>
      </w:r>
      <w:r w:rsidR="00195CCB">
        <w:rPr>
          <w:rFonts w:ascii="Times New Roman" w:hAnsi="Times New Roman" w:cs="Times New Roman"/>
          <w:bCs/>
          <w:iCs/>
        </w:rPr>
        <w:t xml:space="preserve">№20 </w:t>
      </w:r>
      <w:bookmarkStart w:id="0" w:name="_GoBack"/>
      <w:bookmarkEnd w:id="0"/>
      <w:r w:rsidR="007D356A">
        <w:rPr>
          <w:rFonts w:ascii="Times New Roman" w:hAnsi="Times New Roman" w:cs="Times New Roman"/>
          <w:bCs/>
          <w:iCs/>
        </w:rPr>
        <w:t>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C71F54">
        <w:rPr>
          <w:rFonts w:ascii="Times New Roman" w:hAnsi="Times New Roman" w:cs="Times New Roman"/>
          <w:b/>
          <w:bCs/>
          <w:iCs/>
        </w:rPr>
        <w:t>___________</w:t>
      </w:r>
      <w:r w:rsidR="00322DBA">
        <w:rPr>
          <w:rFonts w:ascii="Times New Roman" w:hAnsi="Times New Roman" w:cs="Times New Roman"/>
          <w:bCs/>
          <w:iCs/>
        </w:rPr>
        <w:t xml:space="preserve"> именуемое в дальнейшем «По</w:t>
      </w:r>
      <w:r w:rsidRPr="002F5F2D">
        <w:rPr>
          <w:rFonts w:ascii="Times New Roman" w:hAnsi="Times New Roman" w:cs="Times New Roman"/>
          <w:bCs/>
          <w:iCs/>
        </w:rPr>
        <w:t xml:space="preserve">дрядчик», в лице </w:t>
      </w:r>
      <w:r w:rsidR="00C71F54">
        <w:rPr>
          <w:rFonts w:ascii="Times New Roman" w:hAnsi="Times New Roman" w:cs="Times New Roman"/>
          <w:bCs/>
          <w:iCs/>
        </w:rPr>
        <w:t>_______</w:t>
      </w:r>
      <w:r w:rsidRPr="002F5F2D">
        <w:rPr>
          <w:rFonts w:ascii="Times New Roman" w:hAnsi="Times New Roman" w:cs="Times New Roman"/>
          <w:bCs/>
          <w:iCs/>
        </w:rPr>
        <w:t xml:space="preserve">, действующего на основании </w:t>
      </w:r>
      <w:r w:rsidR="00C71F54">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C71F54">
        <w:rPr>
          <w:rFonts w:ascii="Times New Roman" w:hAnsi="Times New Roman" w:cs="Times New Roman"/>
          <w:bCs/>
          <w:iCs/>
        </w:rPr>
        <w:t>_______</w:t>
      </w:r>
      <w:r w:rsidR="00023CD2">
        <w:rPr>
          <w:rFonts w:ascii="Times New Roman" w:hAnsi="Times New Roman" w:cs="Times New Roman"/>
          <w:bCs/>
          <w:iCs/>
        </w:rPr>
        <w:t xml:space="preserve"> от </w:t>
      </w:r>
      <w:r w:rsidR="00C71F54">
        <w:rPr>
          <w:rFonts w:ascii="Times New Roman" w:hAnsi="Times New Roman" w:cs="Times New Roman"/>
          <w:bCs/>
          <w:iCs/>
        </w:rPr>
        <w:t>___ ____</w:t>
      </w:r>
      <w:r w:rsidR="00023CD2">
        <w:rPr>
          <w:rFonts w:ascii="Times New Roman" w:hAnsi="Times New Roman" w:cs="Times New Roman"/>
          <w:bCs/>
          <w:iCs/>
        </w:rPr>
        <w:t xml:space="preserve">.2022 </w:t>
      </w:r>
      <w:proofErr w:type="gramStart"/>
      <w:r w:rsidR="00023CD2">
        <w:rPr>
          <w:rFonts w:ascii="Times New Roman" w:hAnsi="Times New Roman" w:cs="Times New Roman"/>
          <w:bCs/>
          <w:iCs/>
        </w:rPr>
        <w:t xml:space="preserve">года </w:t>
      </w:r>
      <w:r w:rsidR="00C71F54">
        <w:rPr>
          <w:rFonts w:ascii="Times New Roman" w:hAnsi="Times New Roman" w:cs="Times New Roman"/>
          <w:bCs/>
          <w:iCs/>
        </w:rPr>
        <w:t xml:space="preserve"> </w:t>
      </w:r>
      <w:r w:rsidR="00023CD2">
        <w:rPr>
          <w:rFonts w:ascii="Times New Roman" w:hAnsi="Times New Roman" w:cs="Times New Roman"/>
          <w:bCs/>
          <w:iCs/>
        </w:rPr>
        <w:t>№</w:t>
      </w:r>
      <w:proofErr w:type="gramEnd"/>
      <w:r w:rsidR="00C71F54">
        <w:rPr>
          <w:rFonts w:ascii="Times New Roman" w:hAnsi="Times New Roman" w:cs="Times New Roman"/>
          <w:bCs/>
          <w:iCs/>
        </w:rPr>
        <w:t>_______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13240C" w:rsidRPr="0013240C" w:rsidRDefault="008F24BC" w:rsidP="0013240C">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по объекту: </w:t>
      </w:r>
      <w:r w:rsidR="0013240C" w:rsidRPr="0013240C">
        <w:rPr>
          <w:rFonts w:ascii="Times New Roman" w:hAnsi="Times New Roman" w:cs="Times New Roman"/>
          <w:bCs/>
          <w:i/>
          <w:u w:val="single"/>
        </w:rPr>
        <w:t xml:space="preserve">«Строительство сетей  для обеспечения мероприятий по подключению объектов капитального строительства к системам водоотведения. Реконструкция ГБУЗ «Самарская областная детская инфекционная больница по адресу: Самарская область, г. </w:t>
      </w:r>
      <w:proofErr w:type="spellStart"/>
      <w:proofErr w:type="gramStart"/>
      <w:r w:rsidR="0013240C" w:rsidRPr="0013240C">
        <w:rPr>
          <w:rFonts w:ascii="Times New Roman" w:hAnsi="Times New Roman" w:cs="Times New Roman"/>
          <w:bCs/>
          <w:i/>
          <w:u w:val="single"/>
        </w:rPr>
        <w:t>Самара,ул</w:t>
      </w:r>
      <w:proofErr w:type="spellEnd"/>
      <w:r w:rsidR="0013240C" w:rsidRPr="0013240C">
        <w:rPr>
          <w:rFonts w:ascii="Times New Roman" w:hAnsi="Times New Roman" w:cs="Times New Roman"/>
          <w:bCs/>
          <w:i/>
          <w:u w:val="single"/>
        </w:rPr>
        <w:t>.</w:t>
      </w:r>
      <w:proofErr w:type="gramEnd"/>
      <w:r w:rsidR="0013240C" w:rsidRPr="0013240C">
        <w:rPr>
          <w:rFonts w:ascii="Times New Roman" w:hAnsi="Times New Roman" w:cs="Times New Roman"/>
          <w:bCs/>
          <w:i/>
          <w:u w:val="single"/>
        </w:rPr>
        <w:t xml:space="preserve"> Шверника,1 </w:t>
      </w:r>
      <w:bookmarkStart w:id="1" w:name="__DdeLink__351_3804934080"/>
      <w:bookmarkEnd w:id="1"/>
      <w:r w:rsidR="0013240C" w:rsidRPr="0013240C">
        <w:rPr>
          <w:rFonts w:ascii="Times New Roman" w:hAnsi="Times New Roman" w:cs="Times New Roman"/>
          <w:bCs/>
          <w:i/>
          <w:u w:val="single"/>
        </w:rPr>
        <w:t>(строительство инфекционного корпуса на 100 коек в смену)»</w:t>
      </w:r>
      <w:r w:rsidR="0013240C">
        <w:rPr>
          <w:rFonts w:ascii="Times New Roman" w:hAnsi="Times New Roman" w:cs="Times New Roman"/>
          <w:bCs/>
          <w:i/>
          <w:u w:val="single"/>
        </w:rPr>
        <w:t>.</w:t>
      </w:r>
      <w:r w:rsidR="0013240C" w:rsidRPr="0013240C">
        <w:rPr>
          <w:rFonts w:ascii="Times New Roman" w:hAnsi="Times New Roman" w:cs="Times New Roman"/>
          <w:bCs/>
          <w:i/>
          <w:u w:val="single"/>
        </w:rPr>
        <w:t xml:space="preserve">  </w:t>
      </w:r>
    </w:p>
    <w:p w:rsidR="008F24BC" w:rsidRPr="00BA1523" w:rsidRDefault="00A632BF" w:rsidP="00BA1523">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bCs/>
          <w:iCs/>
        </w:rPr>
        <w:t xml:space="preserve"> </w:t>
      </w:r>
      <w:r w:rsidR="008F24BC"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00AA6712">
        <w:rPr>
          <w:rFonts w:ascii="Times New Roman" w:hAnsi="Times New Roman" w:cs="Times New Roman"/>
          <w:bCs/>
          <w:iCs/>
        </w:rPr>
        <w:t>(Приложение №</w:t>
      </w:r>
      <w:r w:rsidR="007D356A">
        <w:rPr>
          <w:rFonts w:ascii="Times New Roman" w:hAnsi="Times New Roman" w:cs="Times New Roman"/>
          <w:bCs/>
          <w:iCs/>
        </w:rPr>
        <w:t>2</w:t>
      </w:r>
      <w:r w:rsidR="008F24BC"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 </w:t>
      </w:r>
      <w:r w:rsidR="00C71F54">
        <w:rPr>
          <w:rFonts w:ascii="Times New Roman" w:hAnsi="Times New Roman" w:cs="Times New Roman"/>
          <w:b/>
          <w:sz w:val="22"/>
          <w:szCs w:val="22"/>
        </w:rPr>
        <w:t>_________</w:t>
      </w:r>
      <w:r w:rsidR="000C2F79">
        <w:rPr>
          <w:rFonts w:ascii="Times New Roman" w:hAnsi="Times New Roman" w:cs="Times New Roman"/>
          <w:b/>
          <w:sz w:val="22"/>
          <w:szCs w:val="22"/>
        </w:rPr>
        <w:t xml:space="preserve"> </w:t>
      </w:r>
      <w:r w:rsidR="00DE7465" w:rsidRPr="002F5F2D">
        <w:rPr>
          <w:rFonts w:ascii="Times New Roman" w:hAnsi="Times New Roman" w:cs="Times New Roman"/>
          <w:b/>
          <w:sz w:val="22"/>
          <w:szCs w:val="22"/>
        </w:rPr>
        <w:t>(</w:t>
      </w:r>
      <w:r w:rsidR="00C71F54">
        <w:rPr>
          <w:rFonts w:ascii="Times New Roman" w:hAnsi="Times New Roman" w:cs="Times New Roman"/>
          <w:b/>
          <w:sz w:val="22"/>
          <w:szCs w:val="22"/>
        </w:rPr>
        <w:t>_______________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w:t>
      </w:r>
      <w:r w:rsidR="000C2F79">
        <w:rPr>
          <w:rFonts w:ascii="Times New Roman" w:hAnsi="Times New Roman" w:cs="Times New Roman"/>
          <w:sz w:val="22"/>
          <w:szCs w:val="22"/>
        </w:rPr>
        <w:t xml:space="preserve">я </w:t>
      </w:r>
      <w:r w:rsidR="00C71F54">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C71F54">
        <w:rPr>
          <w:rFonts w:ascii="Times New Roman" w:hAnsi="Times New Roman" w:cs="Times New Roman"/>
          <w:sz w:val="22"/>
          <w:szCs w:val="22"/>
        </w:rPr>
        <w:t>_____</w:t>
      </w:r>
      <w:r w:rsidR="000C2F79">
        <w:rPr>
          <w:rFonts w:ascii="Times New Roman" w:hAnsi="Times New Roman" w:cs="Times New Roman"/>
          <w:sz w:val="22"/>
          <w:szCs w:val="22"/>
        </w:rPr>
        <w:t xml:space="preserve"> (</w:t>
      </w:r>
      <w:r w:rsidR="00C71F54">
        <w:rPr>
          <w:rFonts w:ascii="Times New Roman" w:hAnsi="Times New Roman" w:cs="Times New Roman"/>
          <w:sz w:val="22"/>
          <w:szCs w:val="22"/>
        </w:rPr>
        <w:t>_______</w:t>
      </w:r>
      <w:r w:rsidR="000C2F79">
        <w:rPr>
          <w:rFonts w:ascii="Times New Roman" w:hAnsi="Times New Roman" w:cs="Times New Roman"/>
          <w:sz w:val="22"/>
          <w:szCs w:val="22"/>
        </w:rPr>
        <w:t xml:space="preserve">) рубля </w:t>
      </w:r>
      <w:r w:rsidR="00C71F54">
        <w:rPr>
          <w:rFonts w:ascii="Times New Roman" w:hAnsi="Times New Roman" w:cs="Times New Roman"/>
          <w:sz w:val="22"/>
          <w:szCs w:val="22"/>
        </w:rPr>
        <w:t>____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lastRenderedPageBreak/>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170FD2">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w:t>
      </w:r>
      <w:r w:rsidR="00170FD2">
        <w:rPr>
          <w:color w:val="000000"/>
          <w:sz w:val="22"/>
          <w:szCs w:val="22"/>
        </w:rPr>
        <w:t>е предусмотренных Приложением №2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lastRenderedPageBreak/>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w:t>
      </w:r>
      <w:r w:rsidRPr="00E52CE0">
        <w:rPr>
          <w:rFonts w:ascii="Times New Roman" w:hAnsi="Times New Roman" w:cs="Times New Roman"/>
        </w:rPr>
        <w:lastRenderedPageBreak/>
        <w:t>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w:t>
      </w:r>
      <w:proofErr w:type="gramStart"/>
      <w:r w:rsidRPr="00E52CE0">
        <w:rPr>
          <w:rFonts w:ascii="Times New Roman" w:eastAsia="Times New Roman" w:hAnsi="Times New Roman" w:cs="Times New Roman"/>
          <w:lang w:eastAsia="ru-RU"/>
        </w:rPr>
        <w:t>с  применением</w:t>
      </w:r>
      <w:proofErr w:type="gramEnd"/>
      <w:r w:rsidRPr="00E52CE0">
        <w:rPr>
          <w:rFonts w:ascii="Times New Roman" w:eastAsia="Times New Roman" w:hAnsi="Times New Roman" w:cs="Times New Roman"/>
          <w:lang w:eastAsia="ru-RU"/>
        </w:rPr>
        <w:t xml:space="preserve">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 xml:space="preserve">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w:t>
      </w:r>
      <w:proofErr w:type="gramStart"/>
      <w:r w:rsidRPr="00E52CE0">
        <w:rPr>
          <w:sz w:val="22"/>
          <w:szCs w:val="22"/>
          <w:lang w:eastAsia="ru-RU"/>
        </w:rPr>
        <w:t>экземпляр  Акта</w:t>
      </w:r>
      <w:proofErr w:type="gramEnd"/>
      <w:r w:rsidRPr="00E52CE0">
        <w:rPr>
          <w:sz w:val="22"/>
          <w:szCs w:val="22"/>
          <w:lang w:eastAsia="ru-RU"/>
        </w:rPr>
        <w:t xml:space="preserve">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170FD2" w:rsidRPr="00A54AEE" w:rsidRDefault="00170FD2" w:rsidP="00A54AEE">
      <w:pPr>
        <w:pStyle w:val="ConsPlusNormal"/>
        <w:ind w:firstLine="708"/>
        <w:jc w:val="both"/>
        <w:rPr>
          <w:rFonts w:ascii="Times New Roman" w:eastAsiaTheme="minorHAnsi" w:hAnsi="Times New Roman" w:cs="Times New Roman"/>
          <w:sz w:val="22"/>
          <w:szCs w:val="22"/>
          <w:lang w:eastAsia="en-US"/>
        </w:rPr>
      </w:pP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00F93"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00F93" w:rsidRPr="000C2F79" w:rsidRDefault="00500F93" w:rsidP="00500F93">
            <w:pPr>
              <w:widowControl w:val="0"/>
              <w:tabs>
                <w:tab w:val="left" w:pos="6229"/>
              </w:tabs>
              <w:suppressAutoHyphens/>
              <w:spacing w:after="0" w:line="240" w:lineRule="auto"/>
              <w:ind w:right="-286"/>
              <w:rPr>
                <w:rFonts w:ascii="Times New Roman" w:eastAsia="Times New Roman" w:hAnsi="Times New Roman" w:cs="Times New Roman"/>
                <w:b/>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0B728F"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0C2F79"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0C2F79">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0C2F79"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0C2F79" w:rsidRPr="00416A2E" w:rsidRDefault="000C2F79" w:rsidP="000C2F79">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0C2F79"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0C2F79"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215915">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Эл.почта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0C2F79"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40702810903370000034 </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в Филиале ГПБ (АО) «Поволжский» в г. Самара</w:t>
            </w:r>
          </w:p>
          <w:p w:rsidR="000C2F79" w:rsidRPr="000B728F" w:rsidRDefault="000C2F79"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кор.счет</w:t>
            </w:r>
            <w:proofErr w:type="spellEnd"/>
            <w:r w:rsidRPr="000B728F">
              <w:rPr>
                <w:rFonts w:ascii="Times New Roman" w:eastAsia="Times New Roman" w:hAnsi="Times New Roman" w:cs="Times New Roman"/>
                <w:bCs/>
                <w:lang w:eastAsia="zh-CN"/>
              </w:rPr>
              <w:t xml:space="preserve"> N 30101810000000000917</w:t>
            </w:r>
          </w:p>
          <w:p w:rsidR="000C2F79" w:rsidRPr="000B728F" w:rsidRDefault="000C2F79" w:rsidP="00A012C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043601917</w:t>
            </w:r>
          </w:p>
        </w:tc>
      </w:tr>
      <w:tr w:rsidR="000C2F79"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0C2F79" w:rsidRPr="000B728F" w:rsidRDefault="000C2F79" w:rsidP="00416A2E">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0C2F79" w:rsidRPr="000B728F" w:rsidRDefault="000C2F79"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0C2F79" w:rsidRPr="000B728F" w:rsidRDefault="000C2F79"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45B02"/>
    <w:rsid w:val="00085B0A"/>
    <w:rsid w:val="000A0B07"/>
    <w:rsid w:val="000B42F7"/>
    <w:rsid w:val="000B728F"/>
    <w:rsid w:val="000C0FF6"/>
    <w:rsid w:val="000C2F79"/>
    <w:rsid w:val="000F1319"/>
    <w:rsid w:val="00105BD9"/>
    <w:rsid w:val="00125D35"/>
    <w:rsid w:val="0013240C"/>
    <w:rsid w:val="00147281"/>
    <w:rsid w:val="00152126"/>
    <w:rsid w:val="00155B22"/>
    <w:rsid w:val="00170FD2"/>
    <w:rsid w:val="00195CCB"/>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A6712"/>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5FD779-ED18-45B2-A77B-423F7CAB3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373114521">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62E32-774F-4BA9-BCB9-230704A43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11</Pages>
  <Words>6106</Words>
  <Characters>34808</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Шляхова Инна Игоревна</cp:lastModifiedBy>
  <cp:revision>17</cp:revision>
  <dcterms:created xsi:type="dcterms:W3CDTF">2022-02-10T12:48:00Z</dcterms:created>
  <dcterms:modified xsi:type="dcterms:W3CDTF">2022-04-21T04:54:00Z</dcterms:modified>
</cp:coreProperties>
</file>